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C345" w14:textId="2B457700" w:rsidR="00FB4E54" w:rsidRPr="003A731D" w:rsidRDefault="00FB4E54" w:rsidP="00FB4E54">
      <w:pPr>
        <w:rPr>
          <w:b/>
          <w:sz w:val="28"/>
          <w:szCs w:val="28"/>
        </w:rPr>
      </w:pPr>
      <w:r w:rsidRPr="003A731D">
        <w:rPr>
          <w:b/>
          <w:sz w:val="28"/>
          <w:szCs w:val="28"/>
        </w:rPr>
        <w:t>Mari</w:t>
      </w:r>
      <w:r w:rsidR="00C568DC" w:rsidRPr="003A731D">
        <w:rPr>
          <w:b/>
          <w:sz w:val="28"/>
          <w:szCs w:val="28"/>
        </w:rPr>
        <w:t>e</w:t>
      </w:r>
      <w:r w:rsidRPr="003A731D">
        <w:rPr>
          <w:b/>
          <w:sz w:val="28"/>
          <w:szCs w:val="28"/>
        </w:rPr>
        <w:t xml:space="preserve"> </w:t>
      </w:r>
      <w:proofErr w:type="spellStart"/>
      <w:r w:rsidRPr="003A731D">
        <w:rPr>
          <w:b/>
          <w:sz w:val="28"/>
          <w:szCs w:val="28"/>
        </w:rPr>
        <w:t>Skłodowska</w:t>
      </w:r>
      <w:proofErr w:type="spellEnd"/>
      <w:r w:rsidRPr="003A731D">
        <w:rPr>
          <w:b/>
          <w:sz w:val="28"/>
          <w:szCs w:val="28"/>
        </w:rPr>
        <w:t xml:space="preserve">-Curie </w:t>
      </w:r>
      <w:r w:rsidR="006D7277" w:rsidRPr="003A731D">
        <w:rPr>
          <w:b/>
          <w:sz w:val="28"/>
          <w:szCs w:val="28"/>
        </w:rPr>
        <w:t xml:space="preserve">Actions (MSCA) </w:t>
      </w:r>
      <w:r w:rsidR="002B1411" w:rsidRPr="003A731D">
        <w:rPr>
          <w:b/>
          <w:sz w:val="28"/>
          <w:szCs w:val="28"/>
        </w:rPr>
        <w:t>Postdoctoral</w:t>
      </w:r>
      <w:r w:rsidRPr="003A731D">
        <w:rPr>
          <w:b/>
          <w:sz w:val="28"/>
          <w:szCs w:val="28"/>
        </w:rPr>
        <w:t xml:space="preserve"> Fellowships</w:t>
      </w:r>
    </w:p>
    <w:p w14:paraId="22C66E9F" w14:textId="06FD6013" w:rsidR="00F95CC7" w:rsidRPr="00892A46" w:rsidRDefault="00F95CC7" w:rsidP="00FB4E54">
      <w:r>
        <w:t>Departmental Expression of Interest (</w:t>
      </w:r>
      <w:r w:rsidR="003A731D">
        <w:t xml:space="preserve">closing date: </w:t>
      </w:r>
      <w:r>
        <w:t>27</w:t>
      </w:r>
      <w:r w:rsidRPr="00F95CC7">
        <w:rPr>
          <w:vertAlign w:val="superscript"/>
        </w:rPr>
        <w:t>th</w:t>
      </w:r>
      <w:r>
        <w:t xml:space="preserve"> June 2023</w:t>
      </w:r>
      <w:r w:rsidR="0007195E">
        <w:t>)</w:t>
      </w:r>
    </w:p>
    <w:p w14:paraId="569FB57B" w14:textId="7E1A6CC0" w:rsidR="00277E79" w:rsidRPr="00892A46" w:rsidRDefault="006D7277" w:rsidP="00FB4E54">
      <w:r w:rsidRPr="00892A46">
        <w:t>Oxford Sociology</w:t>
      </w:r>
      <w:r w:rsidR="00FB4E54" w:rsidRPr="00892A46">
        <w:t xml:space="preserve"> </w:t>
      </w:r>
      <w:r w:rsidR="007D1680" w:rsidRPr="00892A46">
        <w:t>invites</w:t>
      </w:r>
      <w:r w:rsidR="001E0DE3" w:rsidRPr="00892A46">
        <w:t xml:space="preserve"> </w:t>
      </w:r>
      <w:r w:rsidR="00567C5C" w:rsidRPr="00892A46">
        <w:t>Expressions of Interest (EOI)</w:t>
      </w:r>
      <w:r w:rsidR="001E0DE3" w:rsidRPr="00892A46">
        <w:t xml:space="preserve"> to participate in the </w:t>
      </w:r>
      <w:r w:rsidR="00FB4E54" w:rsidRPr="00892A46">
        <w:t xml:space="preserve">MSCA </w:t>
      </w:r>
      <w:r w:rsidRPr="00892A46">
        <w:t>F</w:t>
      </w:r>
      <w:r w:rsidR="00FB4E54" w:rsidRPr="00892A46">
        <w:t>ellow</w:t>
      </w:r>
      <w:r w:rsidR="001E0DE3" w:rsidRPr="00892A46">
        <w:t>ships scheme</w:t>
      </w:r>
      <w:r w:rsidR="007D1680" w:rsidRPr="00892A46">
        <w:t xml:space="preserve"> 202</w:t>
      </w:r>
      <w:r w:rsidR="00C47EA8">
        <w:t>3</w:t>
      </w:r>
      <w:r w:rsidR="001E0DE3" w:rsidRPr="00892A46">
        <w:t>.</w:t>
      </w:r>
      <w:r w:rsidRPr="00892A46">
        <w:t xml:space="preserve"> </w:t>
      </w:r>
    </w:p>
    <w:p w14:paraId="13986FCF" w14:textId="30AA122F" w:rsidR="00277E79" w:rsidRPr="00892A46" w:rsidRDefault="00277E79" w:rsidP="00FB4E54">
      <w:r w:rsidRPr="00892A46">
        <w:t>Sociology at Oxford has a strong analytical, empirical and comparative orientation</w:t>
      </w:r>
      <w:r w:rsidR="00567C5C" w:rsidRPr="00892A46">
        <w:t xml:space="preserve"> with a focus</w:t>
      </w:r>
      <w:r w:rsidRPr="00892A46">
        <w:t xml:space="preserve"> on developing and testing theories that engage with real world problems. </w:t>
      </w:r>
      <w:r w:rsidR="00567C5C" w:rsidRPr="00892A46">
        <w:t>Our</w:t>
      </w:r>
      <w:r w:rsidRPr="00892A46">
        <w:t xml:space="preserve"> strengths include statistical analysis of social surveys, social demography, collection management and analysis of complex datasets, the development of rational choice theory, microsocial experiments and simulation studies. </w:t>
      </w:r>
    </w:p>
    <w:p w14:paraId="766D2C05" w14:textId="69F86476" w:rsidR="00FB4E54" w:rsidRPr="00892A46" w:rsidRDefault="003A731D" w:rsidP="00FB4E54">
      <w:r w:rsidRPr="0007195E">
        <w:rPr>
          <w:noProof/>
          <w:lang w:eastAsia="en-GB"/>
        </w:rPr>
        <w:drawing>
          <wp:anchor distT="0" distB="0" distL="114300" distR="114300" simplePos="0" relativeHeight="251658240" behindDoc="0" locked="0" layoutInCell="1" allowOverlap="1" wp14:anchorId="0189AB56" wp14:editId="4CE189D4">
            <wp:simplePos x="0" y="0"/>
            <wp:positionH relativeFrom="margin">
              <wp:posOffset>1371576</wp:posOffset>
            </wp:positionH>
            <wp:positionV relativeFrom="page">
              <wp:posOffset>4024292</wp:posOffset>
            </wp:positionV>
            <wp:extent cx="2837815" cy="1631950"/>
            <wp:effectExtent l="0" t="0" r="635"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7815" cy="1631950"/>
                    </a:xfrm>
                    <a:prstGeom prst="rect">
                      <a:avLst/>
                    </a:prstGeom>
                    <a:noFill/>
                    <a:ln>
                      <a:noFill/>
                    </a:ln>
                  </pic:spPr>
                </pic:pic>
              </a:graphicData>
            </a:graphic>
          </wp:anchor>
        </w:drawing>
      </w:r>
      <w:r w:rsidR="006D7277" w:rsidRPr="00892A46">
        <w:t xml:space="preserve">This year’s </w:t>
      </w:r>
      <w:r w:rsidR="00FB4E54" w:rsidRPr="00892A46">
        <w:t xml:space="preserve">call for </w:t>
      </w:r>
      <w:r w:rsidR="00567C5C" w:rsidRPr="00892A46">
        <w:t xml:space="preserve">MSCA </w:t>
      </w:r>
      <w:r w:rsidR="00FB4E54" w:rsidRPr="00892A46">
        <w:t xml:space="preserve">applications closes on </w:t>
      </w:r>
      <w:r w:rsidR="0007195E">
        <w:t>13</w:t>
      </w:r>
      <w:r w:rsidR="0007195E" w:rsidRPr="0007195E">
        <w:rPr>
          <w:vertAlign w:val="superscript"/>
        </w:rPr>
        <w:t>th</w:t>
      </w:r>
      <w:r w:rsidR="0007195E">
        <w:t xml:space="preserve"> September 2023</w:t>
      </w:r>
      <w:r w:rsidR="00FB4E54" w:rsidRPr="00892A46">
        <w:t xml:space="preserve">. </w:t>
      </w:r>
      <w:r w:rsidR="00277E79" w:rsidRPr="00892A46">
        <w:t xml:space="preserve">If you want to apply with us you will need to </w:t>
      </w:r>
      <w:r w:rsidR="0007195E">
        <w:t>complete the EOI form</w:t>
      </w:r>
      <w:r w:rsidR="00813C65" w:rsidRPr="00892A46">
        <w:t xml:space="preserve"> by </w:t>
      </w:r>
      <w:r w:rsidR="0007195E">
        <w:t>Tuesday, 27</w:t>
      </w:r>
      <w:r w:rsidR="0007195E" w:rsidRPr="0007195E">
        <w:rPr>
          <w:vertAlign w:val="superscript"/>
        </w:rPr>
        <w:t>th</w:t>
      </w:r>
      <w:r w:rsidR="0007195E">
        <w:t xml:space="preserve"> June 2023</w:t>
      </w:r>
      <w:r w:rsidR="00813C65" w:rsidRPr="00892A46">
        <w:t xml:space="preserve">. Selected candidates will </w:t>
      </w:r>
      <w:r w:rsidR="00E75327" w:rsidRPr="00892A46">
        <w:t xml:space="preserve">then be contacted and </w:t>
      </w:r>
      <w:r w:rsidR="00813C65" w:rsidRPr="00892A46">
        <w:t xml:space="preserve">invited to submit their applications developed to the ‘final draft’ by </w:t>
      </w:r>
      <w:r w:rsidR="00567C5C" w:rsidRPr="00892A46">
        <w:t xml:space="preserve">the deadline of </w:t>
      </w:r>
      <w:r w:rsidR="0007195E">
        <w:t>27</w:t>
      </w:r>
      <w:r w:rsidR="0007195E" w:rsidRPr="0007195E">
        <w:rPr>
          <w:vertAlign w:val="superscript"/>
        </w:rPr>
        <w:t>th</w:t>
      </w:r>
      <w:r w:rsidR="0007195E">
        <w:t xml:space="preserve"> July 2023</w:t>
      </w:r>
      <w:r w:rsidR="00813C65" w:rsidRPr="00892A46">
        <w:t xml:space="preserve">. </w:t>
      </w:r>
      <w:r w:rsidR="00E75327" w:rsidRPr="00892A46">
        <w:t xml:space="preserve">Full applications will be required by the </w:t>
      </w:r>
      <w:r w:rsidR="00021749" w:rsidRPr="00892A46">
        <w:t xml:space="preserve">Sociology Department internal deadline on </w:t>
      </w:r>
      <w:r w:rsidR="0007195E">
        <w:t>29</w:t>
      </w:r>
      <w:r w:rsidR="0007195E" w:rsidRPr="0007195E">
        <w:rPr>
          <w:vertAlign w:val="superscript"/>
        </w:rPr>
        <w:t>th</w:t>
      </w:r>
      <w:r w:rsidR="0007195E">
        <w:t xml:space="preserve"> August</w:t>
      </w:r>
      <w:r w:rsidR="00021749" w:rsidRPr="00892A46">
        <w:t xml:space="preserve"> 202</w:t>
      </w:r>
      <w:r w:rsidR="0007195E">
        <w:t>3</w:t>
      </w:r>
      <w:r w:rsidR="00E75327" w:rsidRPr="00892A46">
        <w:t xml:space="preserve">. </w:t>
      </w:r>
    </w:p>
    <w:p w14:paraId="7AF9B33E" w14:textId="77777777" w:rsidR="00560B78" w:rsidRDefault="00560B78" w:rsidP="00FB4E54"/>
    <w:p w14:paraId="553EA2B1" w14:textId="21209B7C" w:rsidR="00B1683B" w:rsidRPr="00892A46" w:rsidRDefault="00FB4E54" w:rsidP="00FB4E54">
      <w:r w:rsidRPr="00892A46">
        <w:t xml:space="preserve">MSCA </w:t>
      </w:r>
      <w:r w:rsidR="006D7277" w:rsidRPr="00892A46">
        <w:t>F</w:t>
      </w:r>
      <w:r w:rsidRPr="00892A46">
        <w:t>ellowships are highly flexible</w:t>
      </w:r>
      <w:r w:rsidR="006D7277" w:rsidRPr="00892A46">
        <w:t xml:space="preserve"> funding schemes</w:t>
      </w:r>
      <w:r w:rsidR="005B21A6" w:rsidRPr="00892A46">
        <w:t xml:space="preserve"> offered to </w:t>
      </w:r>
      <w:r w:rsidR="00813C65" w:rsidRPr="00892A46">
        <w:t xml:space="preserve">experienced researchers with a </w:t>
      </w:r>
      <w:r w:rsidR="00567C5C" w:rsidRPr="00892A46">
        <w:t xml:space="preserve">minimum of PhD level experience who </w:t>
      </w:r>
      <w:r w:rsidR="00813C65" w:rsidRPr="00892A46">
        <w:t>move</w:t>
      </w:r>
      <w:r w:rsidR="005710D8" w:rsidRPr="00892A46">
        <w:t xml:space="preserve"> to be based at the hosting</w:t>
      </w:r>
      <w:r w:rsidR="00813C65" w:rsidRPr="00892A46">
        <w:t xml:space="preserve"> institution, where </w:t>
      </w:r>
      <w:r w:rsidR="005710D8" w:rsidRPr="00892A46">
        <w:t xml:space="preserve">they </w:t>
      </w:r>
      <w:r w:rsidR="00813C65" w:rsidRPr="00892A46">
        <w:t>will work with their supervisors to deliver a specific project involving research, innovation, train</w:t>
      </w:r>
      <w:r w:rsidR="00FF234D" w:rsidRPr="00892A46">
        <w:t xml:space="preserve">ing and networking activities. </w:t>
      </w:r>
      <w:r w:rsidR="00D205B5" w:rsidRPr="00892A46">
        <w:t>The funding</w:t>
      </w:r>
      <w:r w:rsidRPr="00892A46">
        <w:t xml:space="preserve"> </w:t>
      </w:r>
      <w:r w:rsidR="006D7277" w:rsidRPr="00892A46">
        <w:t>guarantee</w:t>
      </w:r>
      <w:r w:rsidR="00D205B5" w:rsidRPr="00892A46">
        <w:t>s</w:t>
      </w:r>
      <w:r w:rsidR="006D7277" w:rsidRPr="00892A46">
        <w:t xml:space="preserve"> mobility and financial independence</w:t>
      </w:r>
      <w:r w:rsidR="001E0DE3" w:rsidRPr="00892A46">
        <w:t xml:space="preserve"> </w:t>
      </w:r>
      <w:r w:rsidR="005B21A6" w:rsidRPr="00892A46">
        <w:t xml:space="preserve">with </w:t>
      </w:r>
      <w:r w:rsidR="00D205B5" w:rsidRPr="00892A46">
        <w:t xml:space="preserve">a </w:t>
      </w:r>
      <w:r w:rsidR="005B21A6" w:rsidRPr="00892A46">
        <w:t>generous set of allowances</w:t>
      </w:r>
      <w:r w:rsidR="006D7277" w:rsidRPr="00892A46">
        <w:t xml:space="preserve">. </w:t>
      </w:r>
      <w:r w:rsidR="00D205B5" w:rsidRPr="00892A46">
        <w:t xml:space="preserve">We would be happy to host European Fellows </w:t>
      </w:r>
      <w:r w:rsidR="001E0DE3" w:rsidRPr="00892A46">
        <w:t xml:space="preserve">whose research profile falls </w:t>
      </w:r>
      <w:r w:rsidR="00D205B5" w:rsidRPr="00892A46">
        <w:t xml:space="preserve">or overlaps </w:t>
      </w:r>
      <w:r w:rsidR="001E0DE3" w:rsidRPr="00892A46">
        <w:t xml:space="preserve">with the following </w:t>
      </w:r>
      <w:r w:rsidR="00FF234D" w:rsidRPr="00892A46">
        <w:t xml:space="preserve">research </w:t>
      </w:r>
      <w:r w:rsidR="001E0DE3" w:rsidRPr="00892A46">
        <w:t>areas:</w:t>
      </w:r>
    </w:p>
    <w:p w14:paraId="59EF4F76" w14:textId="696667F9" w:rsidR="00277E79" w:rsidRPr="00892A46" w:rsidRDefault="00277E79" w:rsidP="00277E79">
      <w:pPr>
        <w:pStyle w:val="ListParagraph"/>
        <w:numPr>
          <w:ilvl w:val="0"/>
          <w:numId w:val="11"/>
        </w:numPr>
      </w:pPr>
      <w:r w:rsidRPr="00892A46">
        <w:t xml:space="preserve">Social inequalities of gender, class, and ethnicity (including </w:t>
      </w:r>
      <w:r w:rsidR="00813C65" w:rsidRPr="00892A46">
        <w:t xml:space="preserve">mobility, </w:t>
      </w:r>
      <w:r w:rsidRPr="00892A46">
        <w:t>labour market and social class inequalities);</w:t>
      </w:r>
    </w:p>
    <w:p w14:paraId="4CC847D8" w14:textId="0A002E62" w:rsidR="00277E79" w:rsidRPr="00892A46" w:rsidRDefault="00277E79" w:rsidP="00277E79">
      <w:pPr>
        <w:pStyle w:val="ListParagraph"/>
        <w:numPr>
          <w:ilvl w:val="0"/>
          <w:numId w:val="11"/>
        </w:numPr>
      </w:pPr>
      <w:r w:rsidRPr="00892A46">
        <w:t>Families, population, and demography;</w:t>
      </w:r>
    </w:p>
    <w:p w14:paraId="440016AE" w14:textId="1226DF08" w:rsidR="00277E79" w:rsidRPr="00892A46" w:rsidRDefault="00277E79" w:rsidP="00277E79">
      <w:pPr>
        <w:pStyle w:val="ListParagraph"/>
        <w:numPr>
          <w:ilvl w:val="0"/>
          <w:numId w:val="11"/>
        </w:numPr>
      </w:pPr>
      <w:r w:rsidRPr="00892A46">
        <w:t>Health and wellbeing;</w:t>
      </w:r>
    </w:p>
    <w:p w14:paraId="3A790B7A" w14:textId="2C6DA1B8" w:rsidR="00277E79" w:rsidRPr="00892A46" w:rsidRDefault="00277E79" w:rsidP="00277E79">
      <w:pPr>
        <w:pStyle w:val="ListParagraph"/>
        <w:numPr>
          <w:ilvl w:val="0"/>
          <w:numId w:val="11"/>
        </w:numPr>
      </w:pPr>
      <w:r w:rsidRPr="00892A46">
        <w:t>Crime, justice and governance;</w:t>
      </w:r>
    </w:p>
    <w:p w14:paraId="50BA1146" w14:textId="41835C11" w:rsidR="00277E79" w:rsidRPr="00892A46" w:rsidRDefault="00277E79" w:rsidP="00277E79">
      <w:pPr>
        <w:pStyle w:val="ListParagraph"/>
        <w:numPr>
          <w:ilvl w:val="0"/>
          <w:numId w:val="11"/>
        </w:numPr>
      </w:pPr>
      <w:r w:rsidRPr="00892A46">
        <w:t>Social movements and political sociology;</w:t>
      </w:r>
    </w:p>
    <w:p w14:paraId="794A102C" w14:textId="5DC281F3" w:rsidR="00277E79" w:rsidRPr="00892A46" w:rsidRDefault="00277E79" w:rsidP="00277E79">
      <w:pPr>
        <w:pStyle w:val="ListParagraph"/>
        <w:numPr>
          <w:ilvl w:val="0"/>
          <w:numId w:val="11"/>
        </w:numPr>
      </w:pPr>
      <w:r w:rsidRPr="00892A46">
        <w:t>Digital Societies, Big Data and Artificial Intelligence;</w:t>
      </w:r>
    </w:p>
    <w:p w14:paraId="4AEE550E" w14:textId="66107390" w:rsidR="00FB4E54" w:rsidRPr="00892A46" w:rsidRDefault="00FB4E54" w:rsidP="00FB4E54">
      <w:r w:rsidRPr="00892A46">
        <w:t xml:space="preserve">Proposals </w:t>
      </w:r>
      <w:r w:rsidR="00FF234D" w:rsidRPr="00892A46">
        <w:t>are expected to</w:t>
      </w:r>
      <w:r w:rsidRPr="00892A46">
        <w:t xml:space="preserve"> be built around a </w:t>
      </w:r>
      <w:r w:rsidR="00D205B5" w:rsidRPr="00892A46">
        <w:t xml:space="preserve">Career Development Plan </w:t>
      </w:r>
      <w:r w:rsidRPr="00892A46">
        <w:t>at the host organisation. In addition to research activities and objectives, this should address the researcher's training and career needs, including training on transferable skills, planning for publications and participation in conferences.</w:t>
      </w:r>
    </w:p>
    <w:p w14:paraId="3441C743" w14:textId="1EEC593E" w:rsidR="00FB4E54" w:rsidRPr="00892A46" w:rsidRDefault="00FB4E54" w:rsidP="00FB4E54">
      <w:r w:rsidRPr="00892A46">
        <w:t>Applicants can be of any nationality</w:t>
      </w:r>
      <w:r w:rsidR="00D205B5" w:rsidRPr="00892A46">
        <w:t xml:space="preserve"> (specific eligibility criteria apply</w:t>
      </w:r>
      <w:r w:rsidR="00FF234D" w:rsidRPr="00892A46">
        <w:t xml:space="preserve"> – </w:t>
      </w:r>
      <w:r w:rsidR="00113044" w:rsidRPr="00892A46">
        <w:t>check against the</w:t>
      </w:r>
      <w:r w:rsidR="00FF234D" w:rsidRPr="00892A46">
        <w:t xml:space="preserve"> summary table below</w:t>
      </w:r>
      <w:r w:rsidR="00D205B5" w:rsidRPr="00892A46">
        <w:t>)</w:t>
      </w:r>
      <w:r w:rsidRPr="00892A46">
        <w:t>. There is no upper limit to age.</w:t>
      </w:r>
    </w:p>
    <w:p w14:paraId="6951036E" w14:textId="26414360" w:rsidR="00FB4E54" w:rsidRPr="00892A46" w:rsidRDefault="00000000" w:rsidP="00D205B5">
      <w:hyperlink r:id="rId6" w:history="1">
        <w:r w:rsidR="00FB4E54" w:rsidRPr="00892A46">
          <w:rPr>
            <w:rStyle w:val="Hyperlink"/>
          </w:rPr>
          <w:t>How to apply</w:t>
        </w:r>
      </w:hyperlink>
      <w:r w:rsidR="00FF234D" w:rsidRPr="00892A46">
        <w:t>:</w:t>
      </w:r>
    </w:p>
    <w:p w14:paraId="2CBC20A9" w14:textId="52DFAB72" w:rsidR="00DA1D84" w:rsidRPr="00892A46" w:rsidRDefault="00D205B5" w:rsidP="0048686B">
      <w:pPr>
        <w:pStyle w:val="ListParagraph"/>
        <w:numPr>
          <w:ilvl w:val="0"/>
          <w:numId w:val="11"/>
        </w:numPr>
      </w:pPr>
      <w:r w:rsidRPr="00892A46">
        <w:t xml:space="preserve">Read the </w:t>
      </w:r>
      <w:hyperlink r:id="rId7" w:history="1">
        <w:r w:rsidRPr="0007195E">
          <w:rPr>
            <w:rStyle w:val="Hyperlink"/>
          </w:rPr>
          <w:t xml:space="preserve">Guidance for Applicants </w:t>
        </w:r>
        <w:r w:rsidR="00FB4E54" w:rsidRPr="0007195E">
          <w:rPr>
            <w:rStyle w:val="Hyperlink"/>
          </w:rPr>
          <w:t>and FAQ documents</w:t>
        </w:r>
        <w:r w:rsidRPr="0007195E">
          <w:rPr>
            <w:rStyle w:val="Hyperlink"/>
          </w:rPr>
          <w:t xml:space="preserve"> on the funders’ website</w:t>
        </w:r>
      </w:hyperlink>
    </w:p>
    <w:p w14:paraId="0E6BAD86" w14:textId="2B83F004" w:rsidR="00DA1D84" w:rsidRPr="00892A46" w:rsidRDefault="00DA1D84" w:rsidP="0048686B">
      <w:pPr>
        <w:pStyle w:val="ListParagraph"/>
        <w:numPr>
          <w:ilvl w:val="0"/>
          <w:numId w:val="11"/>
        </w:numPr>
      </w:pPr>
      <w:r w:rsidRPr="00892A46">
        <w:t xml:space="preserve">Make sure you meet all </w:t>
      </w:r>
      <w:r w:rsidR="00E75327" w:rsidRPr="00892A46">
        <w:t>eligibility criteria</w:t>
      </w:r>
    </w:p>
    <w:p w14:paraId="33358179" w14:textId="77777777" w:rsidR="003A731D" w:rsidRDefault="00FB4E54" w:rsidP="00760F04">
      <w:pPr>
        <w:pStyle w:val="ListParagraph"/>
        <w:numPr>
          <w:ilvl w:val="0"/>
          <w:numId w:val="11"/>
        </w:numPr>
      </w:pPr>
      <w:r w:rsidRPr="00892A46">
        <w:t>Register your interest</w:t>
      </w:r>
      <w:r w:rsidR="00D205B5" w:rsidRPr="00892A46">
        <w:t xml:space="preserve"> by sending </w:t>
      </w:r>
      <w:r w:rsidR="00E75327" w:rsidRPr="00892A46">
        <w:t>your</w:t>
      </w:r>
      <w:r w:rsidR="00D205B5" w:rsidRPr="00892A46">
        <w:t xml:space="preserve"> </w:t>
      </w:r>
      <w:r w:rsidR="00E75327" w:rsidRPr="00892A46">
        <w:t>EOI</w:t>
      </w:r>
      <w:r w:rsidR="0007195E">
        <w:t xml:space="preserve"> by 27</w:t>
      </w:r>
      <w:r w:rsidR="0007195E" w:rsidRPr="0007195E">
        <w:rPr>
          <w:vertAlign w:val="superscript"/>
        </w:rPr>
        <w:t>th</w:t>
      </w:r>
      <w:r w:rsidR="0007195E">
        <w:t xml:space="preserve"> June 2023</w:t>
      </w:r>
      <w:r w:rsidRPr="00892A46">
        <w:t>.</w:t>
      </w:r>
      <w:r w:rsidR="00DA1D84" w:rsidRPr="00892A46">
        <w:t xml:space="preserve"> </w:t>
      </w:r>
    </w:p>
    <w:p w14:paraId="7AF85F4A" w14:textId="77777777" w:rsidR="003A731D" w:rsidRDefault="003A731D" w:rsidP="00984DD5">
      <w:pPr>
        <w:pStyle w:val="ListParagraph"/>
        <w:numPr>
          <w:ilvl w:val="0"/>
          <w:numId w:val="11"/>
        </w:numPr>
      </w:pPr>
      <w:r>
        <w:t xml:space="preserve">List of attachments required to support your EOI: </w:t>
      </w:r>
    </w:p>
    <w:p w14:paraId="4F49933A" w14:textId="77777777" w:rsidR="003A731D" w:rsidRDefault="003A731D" w:rsidP="003A731D">
      <w:pPr>
        <w:pStyle w:val="ListParagraph"/>
        <w:ind w:left="1080"/>
      </w:pPr>
      <w:r w:rsidRPr="003A731D">
        <w:t xml:space="preserve">(1) Applicant’s CV; </w:t>
      </w:r>
    </w:p>
    <w:p w14:paraId="66D54644" w14:textId="77777777" w:rsidR="003A731D" w:rsidRDefault="003A731D" w:rsidP="003A731D">
      <w:pPr>
        <w:pStyle w:val="ListParagraph"/>
        <w:ind w:left="1080"/>
      </w:pPr>
      <w:r w:rsidRPr="003A731D">
        <w:t>(2) A max 3-page project outline that would provide an overview of</w:t>
      </w:r>
      <w:r>
        <w:t xml:space="preserve"> the: </w:t>
      </w:r>
    </w:p>
    <w:p w14:paraId="4F28E41A" w14:textId="77777777" w:rsidR="003A731D" w:rsidRDefault="003A731D" w:rsidP="003A731D">
      <w:pPr>
        <w:pStyle w:val="ListParagraph"/>
        <w:ind w:left="1080"/>
      </w:pPr>
      <w:r w:rsidRPr="003A731D">
        <w:rPr>
          <w:b/>
        </w:rPr>
        <w:t>*Excellence</w:t>
      </w:r>
      <w:r>
        <w:t xml:space="preserve">: Quality and pertinence of the project’s research and innovation; level of novelty, appropriate consideration of inter/multidisciplinary and gender aspects; methodology; quality of the supervision and two-way transfer of knowledge between the researcher and the host; quality and appropriateness of the researcher’s professional experience and skills. </w:t>
      </w:r>
    </w:p>
    <w:p w14:paraId="5E8ED95B" w14:textId="77777777" w:rsidR="003A731D" w:rsidRDefault="003A731D" w:rsidP="003A731D">
      <w:pPr>
        <w:pStyle w:val="ListParagraph"/>
        <w:ind w:left="1080"/>
      </w:pPr>
      <w:r w:rsidRPr="003A731D">
        <w:rPr>
          <w:b/>
        </w:rPr>
        <w:t>*Impact:</w:t>
      </w:r>
      <w:r>
        <w:t xml:space="preserve"> Suitability and quality of the measures to maximise expected outcomes; credibility of the measures to enhance the career prospects and skills of the researcher; the importance of the project’s expected scientific, societal and economic impacts. </w:t>
      </w:r>
    </w:p>
    <w:p w14:paraId="4EDABBC2" w14:textId="6EC389EA" w:rsidR="003A731D" w:rsidRDefault="003A731D" w:rsidP="003A731D">
      <w:pPr>
        <w:pStyle w:val="ListParagraph"/>
        <w:ind w:left="1080"/>
      </w:pPr>
      <w:r w:rsidRPr="003A731D">
        <w:rPr>
          <w:b/>
        </w:rPr>
        <w:t>*Implementation</w:t>
      </w:r>
      <w:r>
        <w:t xml:space="preserve">: Quality and effectiveness of the work plan and assessment of risks. </w:t>
      </w:r>
    </w:p>
    <w:p w14:paraId="74454A61" w14:textId="77777777" w:rsidR="00FF234D" w:rsidRPr="00892A46" w:rsidRDefault="00FF234D" w:rsidP="00FF234D">
      <w:pPr>
        <w:pStyle w:val="ListParagraph"/>
        <w:numPr>
          <w:ilvl w:val="0"/>
          <w:numId w:val="11"/>
        </w:numPr>
      </w:pPr>
      <w:r w:rsidRPr="00892A46">
        <w:t>The</w:t>
      </w:r>
      <w:r w:rsidR="00310CD4" w:rsidRPr="00892A46">
        <w:t xml:space="preserve"> internal </w:t>
      </w:r>
      <w:r w:rsidR="005710D8" w:rsidRPr="00892A46">
        <w:t xml:space="preserve">evaluation and </w:t>
      </w:r>
      <w:r w:rsidR="00310CD4" w:rsidRPr="00892A46">
        <w:t>selection panel</w:t>
      </w:r>
      <w:r w:rsidR="005710D8" w:rsidRPr="00892A46">
        <w:t xml:space="preserve"> </w:t>
      </w:r>
      <w:r w:rsidR="00310CD4" w:rsidRPr="00892A46">
        <w:t xml:space="preserve">will </w:t>
      </w:r>
      <w:r w:rsidR="005710D8" w:rsidRPr="00892A46">
        <w:t xml:space="preserve">assess all EOIs </w:t>
      </w:r>
      <w:r w:rsidR="00310CD4" w:rsidRPr="00892A46">
        <w:t xml:space="preserve">received </w:t>
      </w:r>
      <w:r w:rsidR="005710D8" w:rsidRPr="00892A46">
        <w:t xml:space="preserve">within the deadline </w:t>
      </w:r>
      <w:r w:rsidRPr="00892A46">
        <w:t xml:space="preserve">in accordance with </w:t>
      </w:r>
      <w:r w:rsidR="005710D8" w:rsidRPr="00892A46">
        <w:t xml:space="preserve">the EC </w:t>
      </w:r>
      <w:r w:rsidR="00310CD4" w:rsidRPr="00892A46">
        <w:t xml:space="preserve">selection criteria for the scheme: 1) Excellence; 2) Impact; 3) Quality and Efficiency of the Implementation. </w:t>
      </w:r>
    </w:p>
    <w:p w14:paraId="30DFEC4B" w14:textId="6E4511F1" w:rsidR="00310CD4" w:rsidRPr="00892A46" w:rsidRDefault="00FF234D" w:rsidP="00FF234D">
      <w:pPr>
        <w:pStyle w:val="ListParagraph"/>
        <w:numPr>
          <w:ilvl w:val="0"/>
          <w:numId w:val="11"/>
        </w:numPr>
      </w:pPr>
      <w:r w:rsidRPr="00892A46">
        <w:t>S</w:t>
      </w:r>
      <w:r w:rsidR="00310CD4" w:rsidRPr="00892A46">
        <w:t xml:space="preserve">elected </w:t>
      </w:r>
      <w:r w:rsidRPr="00892A46">
        <w:t>A</w:t>
      </w:r>
      <w:r w:rsidR="00310CD4" w:rsidRPr="00892A46">
        <w:t xml:space="preserve">pplicants will work closely with the </w:t>
      </w:r>
      <w:r w:rsidR="005710D8" w:rsidRPr="00892A46">
        <w:t xml:space="preserve">departmental and central University </w:t>
      </w:r>
      <w:r w:rsidR="00310CD4" w:rsidRPr="00892A46">
        <w:t xml:space="preserve">research </w:t>
      </w:r>
      <w:r w:rsidR="005710D8" w:rsidRPr="00892A46">
        <w:t>support team</w:t>
      </w:r>
      <w:r w:rsidRPr="00892A46">
        <w:t>s</w:t>
      </w:r>
      <w:r w:rsidR="005710D8" w:rsidRPr="00892A46">
        <w:t xml:space="preserve"> </w:t>
      </w:r>
      <w:r w:rsidR="00310CD4" w:rsidRPr="00892A46">
        <w:t>to complete the application</w:t>
      </w:r>
      <w:r w:rsidRPr="00892A46">
        <w:t xml:space="preserve"> to its top quality</w:t>
      </w:r>
      <w:r w:rsidR="00310CD4" w:rsidRPr="00892A46">
        <w:t xml:space="preserve">. </w:t>
      </w:r>
    </w:p>
    <w:p w14:paraId="3850E4D6" w14:textId="77777777" w:rsidR="00310CD4" w:rsidRPr="00892A46" w:rsidRDefault="00310CD4" w:rsidP="00310CD4">
      <w:pPr>
        <w:pStyle w:val="ListParagraph"/>
        <w:ind w:left="1080"/>
      </w:pPr>
    </w:p>
    <w:tbl>
      <w:tblPr>
        <w:tblStyle w:val="TableGrid"/>
        <w:tblW w:w="9493" w:type="dxa"/>
        <w:tblLook w:val="04A0" w:firstRow="1" w:lastRow="0" w:firstColumn="1" w:lastColumn="0" w:noHBand="0" w:noVBand="1"/>
      </w:tblPr>
      <w:tblGrid>
        <w:gridCol w:w="2263"/>
        <w:gridCol w:w="7230"/>
      </w:tblGrid>
      <w:tr w:rsidR="0007195E" w:rsidRPr="00892A46" w14:paraId="5F01D6FE" w14:textId="77777777" w:rsidTr="00560B78">
        <w:tc>
          <w:tcPr>
            <w:tcW w:w="2263" w:type="dxa"/>
          </w:tcPr>
          <w:p w14:paraId="3D629E03" w14:textId="51A84F0A" w:rsidR="0007195E" w:rsidRPr="00892A46" w:rsidRDefault="0007195E" w:rsidP="006A1BC5">
            <w:pPr>
              <w:rPr>
                <w:b/>
                <w:color w:val="FF0000"/>
              </w:rPr>
            </w:pPr>
            <w:r w:rsidRPr="00892A46">
              <w:rPr>
                <w:b/>
                <w:color w:val="FF0000"/>
              </w:rPr>
              <w:t>Eligibility</w:t>
            </w:r>
          </w:p>
        </w:tc>
        <w:tc>
          <w:tcPr>
            <w:tcW w:w="7230" w:type="dxa"/>
          </w:tcPr>
          <w:p w14:paraId="0B54B8ED" w14:textId="3E77A2DA" w:rsidR="0007195E" w:rsidRPr="00892A46" w:rsidRDefault="0007195E" w:rsidP="006A1BC5">
            <w:pPr>
              <w:rPr>
                <w:b/>
                <w:color w:val="FF0000"/>
              </w:rPr>
            </w:pPr>
            <w:r w:rsidRPr="00892A46">
              <w:rPr>
                <w:b/>
                <w:color w:val="FF0000"/>
              </w:rPr>
              <w:t>European Postdoctoral Fellowship</w:t>
            </w:r>
          </w:p>
        </w:tc>
      </w:tr>
      <w:tr w:rsidR="0007195E" w:rsidRPr="00892A46" w14:paraId="51F9191D" w14:textId="77777777" w:rsidTr="00560B78">
        <w:tc>
          <w:tcPr>
            <w:tcW w:w="2263" w:type="dxa"/>
          </w:tcPr>
          <w:p w14:paraId="5B425CAF" w14:textId="1E4B565F" w:rsidR="0007195E" w:rsidRPr="00892A46" w:rsidRDefault="0007195E" w:rsidP="006A1BC5">
            <w:r w:rsidRPr="00892A46">
              <w:t>Applicant’s Nationality</w:t>
            </w:r>
          </w:p>
        </w:tc>
        <w:tc>
          <w:tcPr>
            <w:tcW w:w="7230" w:type="dxa"/>
          </w:tcPr>
          <w:p w14:paraId="1BEA7B4B" w14:textId="7CC9BCF5" w:rsidR="0007195E" w:rsidRPr="00892A46" w:rsidRDefault="0007195E" w:rsidP="006A1BC5">
            <w:r w:rsidRPr="00892A46">
              <w:t>Any nationality</w:t>
            </w:r>
          </w:p>
        </w:tc>
      </w:tr>
      <w:tr w:rsidR="0007195E" w:rsidRPr="00892A46" w14:paraId="675F417C" w14:textId="77777777" w:rsidTr="00560B78">
        <w:tc>
          <w:tcPr>
            <w:tcW w:w="2263" w:type="dxa"/>
          </w:tcPr>
          <w:p w14:paraId="0015F701" w14:textId="7AF73542" w:rsidR="0007195E" w:rsidRPr="00892A46" w:rsidRDefault="0007195E" w:rsidP="006A1BC5">
            <w:r w:rsidRPr="00892A46">
              <w:t>Duration</w:t>
            </w:r>
          </w:p>
        </w:tc>
        <w:tc>
          <w:tcPr>
            <w:tcW w:w="7230" w:type="dxa"/>
          </w:tcPr>
          <w:p w14:paraId="0861A8D2" w14:textId="77777777" w:rsidR="0007195E" w:rsidRPr="00892A46" w:rsidRDefault="0007195E" w:rsidP="007916AA">
            <w:pPr>
              <w:rPr>
                <w:sz w:val="23"/>
                <w:szCs w:val="23"/>
              </w:rPr>
            </w:pPr>
            <w:r w:rsidRPr="00892A46">
              <w:rPr>
                <w:sz w:val="23"/>
                <w:szCs w:val="23"/>
              </w:rPr>
              <w:t>12-24 months</w:t>
            </w:r>
          </w:p>
          <w:p w14:paraId="65B18913" w14:textId="6E8C2A42" w:rsidR="0007195E" w:rsidRPr="00892A46" w:rsidRDefault="0007195E" w:rsidP="007916AA">
            <w:pPr>
              <w:rPr>
                <w:sz w:val="23"/>
                <w:szCs w:val="23"/>
              </w:rPr>
            </w:pPr>
            <w:r w:rsidRPr="00892A46">
              <w:rPr>
                <w:sz w:val="23"/>
                <w:szCs w:val="23"/>
              </w:rPr>
              <w:t xml:space="preserve">If requested and justified in the proposal, an additional period of up to six months can be awarded for a placement at a non-academic organisation in an EU Member State or Horizon Europe Associated Country. </w:t>
            </w:r>
          </w:p>
        </w:tc>
      </w:tr>
      <w:tr w:rsidR="0007195E" w:rsidRPr="00892A46" w14:paraId="660377D6" w14:textId="77777777" w:rsidTr="00560B78">
        <w:tc>
          <w:tcPr>
            <w:tcW w:w="2263" w:type="dxa"/>
          </w:tcPr>
          <w:p w14:paraId="670A171C" w14:textId="5302589E" w:rsidR="0007195E" w:rsidRPr="00892A46" w:rsidRDefault="0007195E" w:rsidP="00A819BB">
            <w:r w:rsidRPr="00892A46">
              <w:t>Residence</w:t>
            </w:r>
          </w:p>
        </w:tc>
        <w:tc>
          <w:tcPr>
            <w:tcW w:w="7230" w:type="dxa"/>
          </w:tcPr>
          <w:p w14:paraId="09256956" w14:textId="0D806A25" w:rsidR="0007195E" w:rsidRPr="00892A46" w:rsidRDefault="0007195E" w:rsidP="00A819BB">
            <w:r w:rsidRPr="00892A46">
              <w:rPr>
                <w:sz w:val="23"/>
                <w:szCs w:val="23"/>
              </w:rPr>
              <w:t xml:space="preserve">Cannot have resided or carried out their main activity in the UK for more than 12 months in the three years immediately before the call deadline. </w:t>
            </w:r>
          </w:p>
        </w:tc>
      </w:tr>
      <w:tr w:rsidR="0007195E" w:rsidRPr="00892A46" w14:paraId="2C9BEDD9" w14:textId="77777777" w:rsidTr="00560B78">
        <w:tc>
          <w:tcPr>
            <w:tcW w:w="2263" w:type="dxa"/>
          </w:tcPr>
          <w:p w14:paraId="64A1BA78" w14:textId="78F7EF08" w:rsidR="0007195E" w:rsidRPr="00892A46" w:rsidRDefault="0007195E" w:rsidP="00A819BB">
            <w:r w:rsidRPr="00892A46">
              <w:t>Experience</w:t>
            </w:r>
          </w:p>
        </w:tc>
        <w:tc>
          <w:tcPr>
            <w:tcW w:w="7230" w:type="dxa"/>
          </w:tcPr>
          <w:p w14:paraId="2B7B7286" w14:textId="2E79B5BB" w:rsidR="0007195E" w:rsidRPr="00892A46" w:rsidRDefault="0007195E" w:rsidP="0007195E">
            <w:r w:rsidRPr="00892A46">
              <w:t xml:space="preserve">On </w:t>
            </w:r>
            <w:r>
              <w:t>13</w:t>
            </w:r>
            <w:r w:rsidRPr="0007195E">
              <w:rPr>
                <w:vertAlign w:val="superscript"/>
              </w:rPr>
              <w:t>th</w:t>
            </w:r>
            <w:r>
              <w:t xml:space="preserve"> September</w:t>
            </w:r>
            <w:r w:rsidRPr="00892A46">
              <w:t>, in possession of a PhD and no more than 8 years full-time postdoctoral research experience</w:t>
            </w:r>
          </w:p>
        </w:tc>
      </w:tr>
      <w:tr w:rsidR="0007195E" w:rsidRPr="00892A46" w14:paraId="079748D2" w14:textId="77777777" w:rsidTr="00560B78">
        <w:tc>
          <w:tcPr>
            <w:tcW w:w="2263" w:type="dxa"/>
          </w:tcPr>
          <w:p w14:paraId="750056C6" w14:textId="4804A4F4" w:rsidR="0007195E" w:rsidRPr="00892A46" w:rsidRDefault="0007195E" w:rsidP="000E7782">
            <w:r w:rsidRPr="00892A46">
              <w:t>Mobility</w:t>
            </w:r>
          </w:p>
        </w:tc>
        <w:tc>
          <w:tcPr>
            <w:tcW w:w="7230" w:type="dxa"/>
          </w:tcPr>
          <w:p w14:paraId="290DEBEF" w14:textId="4EB9E7AE" w:rsidR="0007195E" w:rsidRPr="00892A46" w:rsidRDefault="0007195E" w:rsidP="000E7782">
            <w:r w:rsidRPr="00892A46">
              <w:t xml:space="preserve">Fellow will move or have moved from any country to the UK </w:t>
            </w:r>
          </w:p>
        </w:tc>
      </w:tr>
      <w:tr w:rsidR="0007195E" w:rsidRPr="00892A46" w14:paraId="0A6CCC2F" w14:textId="77777777" w:rsidTr="00560B78">
        <w:tc>
          <w:tcPr>
            <w:tcW w:w="2263" w:type="dxa"/>
          </w:tcPr>
          <w:p w14:paraId="51D14D05" w14:textId="45A8595C" w:rsidR="0007195E" w:rsidRPr="00892A46" w:rsidRDefault="0007195E" w:rsidP="000E7782">
            <w:r w:rsidRPr="00892A46">
              <w:t>Hosting</w:t>
            </w:r>
          </w:p>
        </w:tc>
        <w:tc>
          <w:tcPr>
            <w:tcW w:w="7230" w:type="dxa"/>
          </w:tcPr>
          <w:p w14:paraId="6584A383" w14:textId="171F6AEC" w:rsidR="0007195E" w:rsidRPr="00892A46" w:rsidRDefault="0007195E" w:rsidP="000E7782">
            <w:r w:rsidRPr="00892A46">
              <w:t xml:space="preserve">Entire Fellowship hosted in Oxford </w:t>
            </w:r>
          </w:p>
        </w:tc>
      </w:tr>
      <w:tr w:rsidR="0007195E" w:rsidRPr="00892A46" w14:paraId="18361EED" w14:textId="77777777" w:rsidTr="00560B78">
        <w:tc>
          <w:tcPr>
            <w:tcW w:w="2263" w:type="dxa"/>
          </w:tcPr>
          <w:p w14:paraId="31DF5565" w14:textId="06E7EAE2" w:rsidR="0007195E" w:rsidRPr="00892A46" w:rsidRDefault="0007195E" w:rsidP="000E7782">
            <w:r w:rsidRPr="00892A46">
              <w:t>Secondments</w:t>
            </w:r>
          </w:p>
        </w:tc>
        <w:tc>
          <w:tcPr>
            <w:tcW w:w="7230" w:type="dxa"/>
          </w:tcPr>
          <w:p w14:paraId="5FDBC34E" w14:textId="4CCA5162" w:rsidR="0007195E" w:rsidRPr="00892A46" w:rsidRDefault="0007195E" w:rsidP="000E7782">
            <w:r w:rsidRPr="00892A46">
              <w:t xml:space="preserve">Optional, in EU Member or Associated countries only, cannot exceed one third of the standard fellowship duration and should be in line with the project objectives. </w:t>
            </w:r>
          </w:p>
        </w:tc>
      </w:tr>
      <w:tr w:rsidR="0007195E" w:rsidRPr="00892A46" w14:paraId="1DB7E602" w14:textId="77777777" w:rsidTr="00560B78">
        <w:tc>
          <w:tcPr>
            <w:tcW w:w="2263" w:type="dxa"/>
          </w:tcPr>
          <w:p w14:paraId="2D2F1B2A" w14:textId="3CE47415" w:rsidR="0007195E" w:rsidRPr="00892A46" w:rsidRDefault="0007195E" w:rsidP="000E7782">
            <w:r w:rsidRPr="00892A46">
              <w:t xml:space="preserve">Placements </w:t>
            </w:r>
          </w:p>
        </w:tc>
        <w:tc>
          <w:tcPr>
            <w:tcW w:w="7230" w:type="dxa"/>
          </w:tcPr>
          <w:p w14:paraId="0331F680" w14:textId="314460A9" w:rsidR="0007195E" w:rsidRPr="00892A46" w:rsidRDefault="0007195E" w:rsidP="000E7782">
            <w:r w:rsidRPr="00892A46">
              <w:t xml:space="preserve">Optional. An additional period of up to six months to support researchers seeking a placement at the end of the project to work on R&amp;I projects in an organisation from the non-academic sector in an EU Member or Associated country. Placements must be an integral part of the proposal and are subject to evaluation. Letter of commitment from placement host organisation is mandatory with application. </w:t>
            </w:r>
          </w:p>
        </w:tc>
      </w:tr>
      <w:tr w:rsidR="0007195E" w:rsidRPr="00892A46" w14:paraId="4F8A087B" w14:textId="77777777" w:rsidTr="00560B78">
        <w:tc>
          <w:tcPr>
            <w:tcW w:w="2263" w:type="dxa"/>
          </w:tcPr>
          <w:p w14:paraId="47935BAF" w14:textId="4DB3CF1A" w:rsidR="0007195E" w:rsidRPr="00892A46" w:rsidRDefault="0007195E" w:rsidP="000E7782">
            <w:r w:rsidRPr="00892A46">
              <w:t>Monthly Allowances (full time)</w:t>
            </w:r>
          </w:p>
        </w:tc>
        <w:tc>
          <w:tcPr>
            <w:tcW w:w="7230" w:type="dxa"/>
          </w:tcPr>
          <w:p w14:paraId="0EC92CE7" w14:textId="0D296567" w:rsidR="0007195E" w:rsidRPr="00892A46" w:rsidRDefault="0007195E" w:rsidP="000E7782">
            <w:r w:rsidRPr="00892A46">
              <w:t xml:space="preserve">Living: </w:t>
            </w:r>
            <w:r w:rsidRPr="00892A46">
              <w:rPr>
                <w:rFonts w:cstheme="minorHAnsi"/>
              </w:rPr>
              <w:t>€5,080</w:t>
            </w:r>
            <w:r w:rsidRPr="00892A46">
              <w:t xml:space="preserve"> | Mobility </w:t>
            </w:r>
            <w:r w:rsidRPr="00892A46">
              <w:rPr>
                <w:rFonts w:cstheme="minorHAnsi"/>
              </w:rPr>
              <w:t>€60</w:t>
            </w:r>
            <w:r w:rsidRPr="00892A46">
              <w:t xml:space="preserve">0 | Family </w:t>
            </w:r>
            <w:r w:rsidRPr="00892A46">
              <w:rPr>
                <w:rFonts w:cstheme="minorHAnsi"/>
              </w:rPr>
              <w:t>€660</w:t>
            </w:r>
            <w:r w:rsidRPr="00892A46">
              <w:t xml:space="preserve"> (if applicable) | Long-term leave allowance </w:t>
            </w:r>
            <w:r w:rsidRPr="00892A46">
              <w:rPr>
                <w:rFonts w:cstheme="minorHAnsi"/>
              </w:rPr>
              <w:t>€5,680</w:t>
            </w:r>
            <w:r w:rsidRPr="00892A46">
              <w:t xml:space="preserve"> (if applicable)</w:t>
            </w:r>
          </w:p>
          <w:p w14:paraId="7B313405" w14:textId="1308D728" w:rsidR="0007195E" w:rsidRPr="00892A46" w:rsidRDefault="0007195E" w:rsidP="000E7782">
            <w:r w:rsidRPr="00892A46">
              <w:t xml:space="preserve">Subject to taxes on-costs and country correction coefficients </w:t>
            </w:r>
          </w:p>
        </w:tc>
      </w:tr>
    </w:tbl>
    <w:p w14:paraId="714F442C" w14:textId="5DBAE423" w:rsidR="00FB4E54" w:rsidRDefault="00A819BB" w:rsidP="00FB4E54">
      <w:r w:rsidRPr="00892A46">
        <w:rPr>
          <w:sz w:val="16"/>
          <w:szCs w:val="16"/>
        </w:rPr>
        <w:t xml:space="preserve">* Non-associated Third Countries (TC) are countries which are neither EU Member States (MS), nor associated to </w:t>
      </w:r>
      <w:r w:rsidR="00C40F30" w:rsidRPr="00892A46">
        <w:rPr>
          <w:sz w:val="16"/>
          <w:szCs w:val="16"/>
        </w:rPr>
        <w:t xml:space="preserve">Europe </w:t>
      </w:r>
      <w:r w:rsidRPr="00892A46">
        <w:rPr>
          <w:sz w:val="16"/>
          <w:szCs w:val="16"/>
        </w:rPr>
        <w:t>(AC)</w:t>
      </w:r>
      <w:r w:rsidR="00FB4E54" w:rsidRPr="00A819BB">
        <w:rPr>
          <w:sz w:val="16"/>
          <w:szCs w:val="16"/>
        </w:rPr>
        <w:br/>
      </w:r>
    </w:p>
    <w:sectPr w:rsidR="00FB4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C6D"/>
    <w:multiLevelType w:val="multilevel"/>
    <w:tmpl w:val="B14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1A5F"/>
    <w:multiLevelType w:val="multilevel"/>
    <w:tmpl w:val="EEC4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64770"/>
    <w:multiLevelType w:val="hybridMultilevel"/>
    <w:tmpl w:val="1B4A63D8"/>
    <w:lvl w:ilvl="0" w:tplc="338851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3137"/>
    <w:multiLevelType w:val="multilevel"/>
    <w:tmpl w:val="A73A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087F0E"/>
    <w:multiLevelType w:val="hybridMultilevel"/>
    <w:tmpl w:val="389E529E"/>
    <w:lvl w:ilvl="0" w:tplc="DFB02016">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F35F45"/>
    <w:multiLevelType w:val="multilevel"/>
    <w:tmpl w:val="4F9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94280"/>
    <w:multiLevelType w:val="multilevel"/>
    <w:tmpl w:val="F838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43A22"/>
    <w:multiLevelType w:val="hybridMultilevel"/>
    <w:tmpl w:val="604C9FA4"/>
    <w:lvl w:ilvl="0" w:tplc="5DF86A6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41271"/>
    <w:multiLevelType w:val="hybridMultilevel"/>
    <w:tmpl w:val="7A7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01502"/>
    <w:multiLevelType w:val="multilevel"/>
    <w:tmpl w:val="2EA0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A5754"/>
    <w:multiLevelType w:val="multilevel"/>
    <w:tmpl w:val="D1B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6944EF"/>
    <w:multiLevelType w:val="multilevel"/>
    <w:tmpl w:val="B14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89490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16cid:durableId="184609187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205392358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29394653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5" w16cid:durableId="175165659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204374829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146685300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67187906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1707097418">
    <w:abstractNumId w:val="2"/>
  </w:num>
  <w:num w:numId="10" w16cid:durableId="412581215">
    <w:abstractNumId w:val="8"/>
  </w:num>
  <w:num w:numId="11" w16cid:durableId="824013419">
    <w:abstractNumId w:val="7"/>
  </w:num>
  <w:num w:numId="12" w16cid:durableId="895625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E54"/>
    <w:rsid w:val="00021749"/>
    <w:rsid w:val="00040307"/>
    <w:rsid w:val="0007195E"/>
    <w:rsid w:val="000A78CB"/>
    <w:rsid w:val="000E7782"/>
    <w:rsid w:val="00113044"/>
    <w:rsid w:val="00135519"/>
    <w:rsid w:val="0014367A"/>
    <w:rsid w:val="001E0DE3"/>
    <w:rsid w:val="00277E79"/>
    <w:rsid w:val="002B1411"/>
    <w:rsid w:val="002E54D4"/>
    <w:rsid w:val="00310CD4"/>
    <w:rsid w:val="00311C03"/>
    <w:rsid w:val="003A731D"/>
    <w:rsid w:val="003E7DBA"/>
    <w:rsid w:val="003F05A3"/>
    <w:rsid w:val="004F0F4E"/>
    <w:rsid w:val="00542708"/>
    <w:rsid w:val="00560B78"/>
    <w:rsid w:val="00567C5C"/>
    <w:rsid w:val="005710D8"/>
    <w:rsid w:val="005953D7"/>
    <w:rsid w:val="005B21A6"/>
    <w:rsid w:val="0069611C"/>
    <w:rsid w:val="006A1BC5"/>
    <w:rsid w:val="006D7277"/>
    <w:rsid w:val="00705757"/>
    <w:rsid w:val="00717DF3"/>
    <w:rsid w:val="007916AA"/>
    <w:rsid w:val="007D1680"/>
    <w:rsid w:val="00800481"/>
    <w:rsid w:val="00813C65"/>
    <w:rsid w:val="00892A46"/>
    <w:rsid w:val="00963ED4"/>
    <w:rsid w:val="009F16C0"/>
    <w:rsid w:val="00A5112A"/>
    <w:rsid w:val="00A74ED3"/>
    <w:rsid w:val="00A819BB"/>
    <w:rsid w:val="00B45AC8"/>
    <w:rsid w:val="00BB2F8E"/>
    <w:rsid w:val="00BF7EBC"/>
    <w:rsid w:val="00C40F30"/>
    <w:rsid w:val="00C47EA8"/>
    <w:rsid w:val="00C568DC"/>
    <w:rsid w:val="00D205B5"/>
    <w:rsid w:val="00DA1D84"/>
    <w:rsid w:val="00E75327"/>
    <w:rsid w:val="00EB560D"/>
    <w:rsid w:val="00F95CC7"/>
    <w:rsid w:val="00FB4E54"/>
    <w:rsid w:val="00FF2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ECEA"/>
  <w15:chartTrackingRefBased/>
  <w15:docId w15:val="{8C7B35A4-7AF9-4E7C-BDBA-C002BAC4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E5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E5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FB4E54"/>
    <w:rPr>
      <w:color w:val="0000FF"/>
      <w:u w:val="single"/>
    </w:rPr>
  </w:style>
  <w:style w:type="paragraph" w:styleId="NormalWeb">
    <w:name w:val="Normal (Web)"/>
    <w:basedOn w:val="Normal"/>
    <w:uiPriority w:val="99"/>
    <w:semiHidden/>
    <w:unhideWhenUsed/>
    <w:rsid w:val="00FB4E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B4E54"/>
    <w:pPr>
      <w:ind w:left="720"/>
      <w:contextualSpacing/>
    </w:pPr>
  </w:style>
  <w:style w:type="character" w:styleId="CommentReference">
    <w:name w:val="annotation reference"/>
    <w:basedOn w:val="DefaultParagraphFont"/>
    <w:uiPriority w:val="99"/>
    <w:semiHidden/>
    <w:unhideWhenUsed/>
    <w:rsid w:val="00C568DC"/>
    <w:rPr>
      <w:sz w:val="16"/>
      <w:szCs w:val="16"/>
    </w:rPr>
  </w:style>
  <w:style w:type="paragraph" w:styleId="CommentText">
    <w:name w:val="annotation text"/>
    <w:basedOn w:val="Normal"/>
    <w:link w:val="CommentTextChar"/>
    <w:uiPriority w:val="99"/>
    <w:semiHidden/>
    <w:unhideWhenUsed/>
    <w:rsid w:val="00C568DC"/>
    <w:pPr>
      <w:spacing w:line="240" w:lineRule="auto"/>
    </w:pPr>
    <w:rPr>
      <w:sz w:val="20"/>
      <w:szCs w:val="20"/>
    </w:rPr>
  </w:style>
  <w:style w:type="character" w:customStyle="1" w:styleId="CommentTextChar">
    <w:name w:val="Comment Text Char"/>
    <w:basedOn w:val="DefaultParagraphFont"/>
    <w:link w:val="CommentText"/>
    <w:uiPriority w:val="99"/>
    <w:semiHidden/>
    <w:rsid w:val="00C568DC"/>
    <w:rPr>
      <w:sz w:val="20"/>
      <w:szCs w:val="20"/>
    </w:rPr>
  </w:style>
  <w:style w:type="paragraph" w:styleId="CommentSubject">
    <w:name w:val="annotation subject"/>
    <w:basedOn w:val="CommentText"/>
    <w:next w:val="CommentText"/>
    <w:link w:val="CommentSubjectChar"/>
    <w:uiPriority w:val="99"/>
    <w:semiHidden/>
    <w:unhideWhenUsed/>
    <w:rsid w:val="00C568DC"/>
    <w:rPr>
      <w:b/>
      <w:bCs/>
    </w:rPr>
  </w:style>
  <w:style w:type="character" w:customStyle="1" w:styleId="CommentSubjectChar">
    <w:name w:val="Comment Subject Char"/>
    <w:basedOn w:val="CommentTextChar"/>
    <w:link w:val="CommentSubject"/>
    <w:uiPriority w:val="99"/>
    <w:semiHidden/>
    <w:rsid w:val="00C568DC"/>
    <w:rPr>
      <w:b/>
      <w:bCs/>
      <w:sz w:val="20"/>
      <w:szCs w:val="20"/>
    </w:rPr>
  </w:style>
  <w:style w:type="paragraph" w:styleId="BalloonText">
    <w:name w:val="Balloon Text"/>
    <w:basedOn w:val="Normal"/>
    <w:link w:val="BalloonTextChar"/>
    <w:uiPriority w:val="99"/>
    <w:semiHidden/>
    <w:unhideWhenUsed/>
    <w:rsid w:val="00C56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8DC"/>
    <w:rPr>
      <w:rFonts w:ascii="Segoe UI" w:hAnsi="Segoe UI" w:cs="Segoe UI"/>
      <w:sz w:val="18"/>
      <w:szCs w:val="18"/>
    </w:rPr>
  </w:style>
  <w:style w:type="table" w:styleId="TableGrid">
    <w:name w:val="Table Grid"/>
    <w:basedOn w:val="TableNormal"/>
    <w:uiPriority w:val="39"/>
    <w:rsid w:val="006A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1749"/>
    <w:rPr>
      <w:color w:val="954F72" w:themeColor="followedHyperlink"/>
      <w:u w:val="single"/>
    </w:rPr>
  </w:style>
  <w:style w:type="character" w:customStyle="1" w:styleId="UnresolvedMention1">
    <w:name w:val="Unresolved Mention1"/>
    <w:basedOn w:val="DefaultParagraphFont"/>
    <w:uiPriority w:val="99"/>
    <w:semiHidden/>
    <w:unhideWhenUsed/>
    <w:rsid w:val="003E7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5877">
      <w:bodyDiv w:val="1"/>
      <w:marLeft w:val="0"/>
      <w:marRight w:val="0"/>
      <w:marTop w:val="0"/>
      <w:marBottom w:val="0"/>
      <w:divBdr>
        <w:top w:val="none" w:sz="0" w:space="0" w:color="auto"/>
        <w:left w:val="none" w:sz="0" w:space="0" w:color="auto"/>
        <w:bottom w:val="none" w:sz="0" w:space="0" w:color="auto"/>
        <w:right w:val="none" w:sz="0" w:space="0" w:color="auto"/>
      </w:divBdr>
    </w:div>
    <w:div w:id="786850079">
      <w:bodyDiv w:val="1"/>
      <w:marLeft w:val="0"/>
      <w:marRight w:val="0"/>
      <w:marTop w:val="0"/>
      <w:marBottom w:val="0"/>
      <w:divBdr>
        <w:top w:val="none" w:sz="0" w:space="0" w:color="auto"/>
        <w:left w:val="none" w:sz="0" w:space="0" w:color="auto"/>
        <w:bottom w:val="none" w:sz="0" w:space="0" w:color="auto"/>
        <w:right w:val="none" w:sz="0" w:space="0" w:color="auto"/>
      </w:divBdr>
    </w:div>
    <w:div w:id="1184245644">
      <w:bodyDiv w:val="1"/>
      <w:marLeft w:val="0"/>
      <w:marRight w:val="0"/>
      <w:marTop w:val="0"/>
      <w:marBottom w:val="0"/>
      <w:divBdr>
        <w:top w:val="none" w:sz="0" w:space="0" w:color="auto"/>
        <w:left w:val="none" w:sz="0" w:space="0" w:color="auto"/>
        <w:bottom w:val="none" w:sz="0" w:space="0" w:color="auto"/>
        <w:right w:val="none" w:sz="0" w:space="0" w:color="auto"/>
      </w:divBdr>
    </w:div>
    <w:div w:id="1359816528">
      <w:bodyDiv w:val="1"/>
      <w:marLeft w:val="0"/>
      <w:marRight w:val="0"/>
      <w:marTop w:val="0"/>
      <w:marBottom w:val="0"/>
      <w:divBdr>
        <w:top w:val="none" w:sz="0" w:space="0" w:color="auto"/>
        <w:left w:val="none" w:sz="0" w:space="0" w:color="auto"/>
        <w:bottom w:val="none" w:sz="0" w:space="0" w:color="auto"/>
        <w:right w:val="none" w:sz="0" w:space="0" w:color="auto"/>
      </w:divBdr>
    </w:div>
    <w:div w:id="1443066442">
      <w:bodyDiv w:val="1"/>
      <w:marLeft w:val="0"/>
      <w:marRight w:val="0"/>
      <w:marTop w:val="0"/>
      <w:marBottom w:val="0"/>
      <w:divBdr>
        <w:top w:val="none" w:sz="0" w:space="0" w:color="auto"/>
        <w:left w:val="none" w:sz="0" w:space="0" w:color="auto"/>
        <w:bottom w:val="none" w:sz="0" w:space="0" w:color="auto"/>
        <w:right w:val="none" w:sz="0" w:space="0" w:color="auto"/>
      </w:divBdr>
      <w:divsChild>
        <w:div w:id="939918528">
          <w:marLeft w:val="0"/>
          <w:marRight w:val="0"/>
          <w:marTop w:val="0"/>
          <w:marBottom w:val="45"/>
          <w:divBdr>
            <w:top w:val="none" w:sz="0" w:space="0" w:color="auto"/>
            <w:left w:val="none" w:sz="0" w:space="0" w:color="auto"/>
            <w:bottom w:val="none" w:sz="0" w:space="0" w:color="auto"/>
            <w:right w:val="none" w:sz="0" w:space="0" w:color="auto"/>
          </w:divBdr>
          <w:divsChild>
            <w:div w:id="741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info/funding-tenders/opportunities/portal/screen/opportunities/topic-details/horizon-msca-2023-pf-01-01;callCode=null;freeTextSearchKeyword=msca;matchWholeText=true;typeCodes=0,1,2,8;statusCodes=31094501,31094502,31094503;programmePeriod=null;programCcm2Id=null;programDivisionCode=null;focusAreaCode=null;destinationGroup=null;missionGroup=null;geographicalZonesCode=null;programmeDivisionProspect=null;startDateLte=null;startDateGte=null;crossCuttingPriorityCode=null;cpvCode=null;performanceOfDelivery=null;sortQuery=sortStatus;orderBy=asc;onlyTenders=false;topicListKey=callTopicSearchTableSt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research/mariecurieactions/actions/how-apply"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984</Words>
  <Characters>5158</Characters>
  <Application>Microsoft Office Word</Application>
  <DocSecurity>0</DocSecurity>
  <Lines>161</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a.swiejkowska</dc:creator>
  <cp:keywords/>
  <dc:description/>
  <cp:lastModifiedBy>Laurel Quinn</cp:lastModifiedBy>
  <cp:revision>3</cp:revision>
  <dcterms:created xsi:type="dcterms:W3CDTF">2023-06-14T13:54:00Z</dcterms:created>
  <dcterms:modified xsi:type="dcterms:W3CDTF">2023-06-14T13:54:00Z</dcterms:modified>
</cp:coreProperties>
</file>